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750" w:afterAutospacing="0" w:line="24" w:lineRule="atLeast"/>
        <w:ind w:left="1050" w:right="1050"/>
        <w:jc w:val="center"/>
        <w:rPr>
          <w:b w:val="0"/>
          <w:color w:val="000000"/>
          <w:sz w:val="45"/>
          <w:szCs w:val="45"/>
        </w:rPr>
      </w:pPr>
      <w:r>
        <w:rPr>
          <w:b w:val="0"/>
          <w:color w:val="000000"/>
          <w:sz w:val="45"/>
          <w:szCs w:val="45"/>
          <w:bdr w:val="none" w:color="auto" w:sz="0" w:space="0"/>
        </w:rPr>
        <w:t>关于支持个体工商户复工复业</w:t>
      </w:r>
      <w:bookmarkStart w:id="0" w:name="_GoBack"/>
      <w:bookmarkEnd w:id="0"/>
      <w:r>
        <w:rPr>
          <w:b w:val="0"/>
          <w:color w:val="000000"/>
          <w:sz w:val="45"/>
          <w:szCs w:val="45"/>
          <w:bdr w:val="none" w:color="auto" w:sz="0" w:space="0"/>
        </w:rPr>
        <w:t>增值税政策的公告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0" w:beforeAutospacing="0" w:after="450" w:afterAutospacing="0" w:line="48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0" w:beforeAutospacing="0" w:after="240" w:afterAutospacing="0" w:line="259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财政部 税务总局公告2020年第13号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0" w:beforeAutospacing="0" w:after="240" w:afterAutospacing="0" w:line="259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为支持广大个体工商户在做好新冠肺炎疫情防控同时加快复工复业，现就有关增值税政策公告如下：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0" w:beforeAutospacing="0" w:after="240" w:afterAutospacing="0" w:line="259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自2020年3月1日至5月31日，对湖北省增值税小规模纳税人，适用3%征收率的应税销售收入，免征增值税；适用3%预征率的预缴增值税项目，暂停预缴增值税。除湖北省外，其他省、自治区、直辖市的增值税小规模纳税人，适用3%征收率的应税销售收入，减按1%征收率征收增值税；适用3%预征率的预缴增值税项目，减按1%预征率预缴增值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0" w:beforeAutospacing="0" w:after="240" w:afterAutospacing="0" w:line="259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0" w:beforeAutospacing="0" w:after="240" w:afterAutospacing="0" w:line="259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财政部 税务总局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0" w:beforeAutospacing="0" w:after="240" w:afterAutospacing="0" w:line="259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2020年2月28日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1D16"/>
    <w:rsid w:val="6964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2020-07-09T03:17:00Z</dcterms:created>
  <dc:creator>Lu</dc:creator>
  <cp:lastModifiedBy>Lu</cp:lastModifiedBy>
  <dcterms:modified xsi:type="dcterms:W3CDTF">2020-07-09T03:17:45Z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