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24" w:lineRule="atLeast"/>
        <w:ind w:left="1050" w:right="1050"/>
        <w:jc w:val="center"/>
        <w:rPr>
          <w:b w:val="0"/>
          <w:color w:val="000000"/>
          <w:sz w:val="45"/>
          <w:szCs w:val="45"/>
        </w:rPr>
      </w:pPr>
      <w:r>
        <w:rPr>
          <w:b w:val="0"/>
          <w:color w:val="000000"/>
          <w:sz w:val="45"/>
          <w:szCs w:val="45"/>
          <w:bdr w:val="none" w:color="auto" w:sz="0" w:space="0"/>
        </w:rPr>
        <w:t>关于防控新型冠状病毒感染的肺炎疫情进口物资免税政策的公告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450" w:afterAutospacing="0" w:line="486" w:lineRule="atLeast"/>
        <w:ind w:left="0" w:right="0"/>
        <w:jc w:val="center"/>
        <w:rPr>
          <w:rFonts w:ascii="微软雅黑" w:hAnsi="微软雅黑" w:eastAsia="微软雅黑" w:cs="微软雅黑"/>
          <w:sz w:val="45"/>
          <w:szCs w:val="4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450" w:afterAutospacing="0" w:line="259"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val="0"/>
          <w:i w:val="0"/>
          <w:sz w:val="24"/>
          <w:szCs w:val="24"/>
          <w:bdr w:val="none" w:color="auto" w:sz="0" w:space="0"/>
          <w:lang w:eastAsia="zh-CN"/>
        </w:rPr>
        <w:t>财政部 海关总署 税务总局公告2020年第6号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一、适度扩大《慈善捐赠物资免征进口税收暂行办法》规定的免税进口范围，对捐赠用于疫情防控的进口物资，免征进口关税和进口环节增值税、消费税。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（1）进口物资增加试剂，消毒物品，防护用品，救护车、防疫车、消毒用车、应急指挥车。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（3）受赠人增加省级民政部门或其指定的单位。省级民政部门将指定的单位名单函告所在地直属海关及省级税务部门。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无明确受赠人的捐赠进口物资，由中国红十字会总会、中华全国妇女联合会、中国残疾人联合会、中华慈善总会、中国初级卫生保健基金会、中国宋庆龄基金会或中国癌症基金会作为受赠人接收。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hint="eastAsia" w:ascii="宋体" w:hAnsi="宋体" w:eastAsia="宋体" w:cs="宋体"/>
          <w:sz w:val="24"/>
          <w:szCs w:val="24"/>
        </w:rPr>
      </w:pPr>
      <w:r>
        <w:rPr>
          <w:rFonts w:hint="eastAsia" w:ascii="宋体" w:hAnsi="宋体" w:eastAsia="宋体" w:cs="宋体"/>
          <w:b w:val="0"/>
          <w:i w:val="0"/>
          <w:color w:val="333333"/>
          <w:sz w:val="24"/>
          <w:szCs w:val="24"/>
          <w:bdr w:val="none" w:color="auto" w:sz="0" w:space="0"/>
          <w:shd w:val="clear" w:fill="FFFFFF"/>
          <w:lang w:eastAsia="zh-CN"/>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226" w:afterAutospacing="0" w:line="259" w:lineRule="atLeast"/>
        <w:ind w:left="0" w:right="0" w:firstLine="475"/>
        <w:jc w:val="left"/>
        <w:rPr>
          <w:rFonts w:ascii="Calibri" w:hAnsi="Calibri" w:cs="Calibri"/>
          <w:sz w:val="24"/>
          <w:szCs w:val="24"/>
        </w:rPr>
      </w:pPr>
      <w:r>
        <w:rPr>
          <w:rFonts w:hint="eastAsia" w:ascii="宋体" w:hAnsi="宋体" w:eastAsia="宋体" w:cs="宋体"/>
          <w:b w:val="0"/>
          <w:i w:val="0"/>
          <w:color w:val="333333"/>
          <w:sz w:val="24"/>
          <w:szCs w:val="24"/>
          <w:bdr w:val="none" w:color="auto" w:sz="0" w:space="0"/>
          <w:shd w:val="clear" w:fill="FFFFFF"/>
          <w:lang w:eastAsia="zh-CN"/>
        </w:rPr>
        <w:t>四、本公告项下免税进口物资，可按照或比照海关总署公告2020年第17号，先登记放行，再按规定补办相关手续。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D795D"/>
    <w:rsid w:val="50DD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2020-07-09T03:21:00Z</dcterms:created>
  <dc:creator>Lu</dc:creator>
  <cp:lastModifiedBy>Lu</cp:lastModifiedBy>
  <dcterms:modified xsi:type="dcterms:W3CDTF">2020-07-09T03:21:58Z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