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jc w:val="center"/>
        <w:rPr>
          <w:rFonts w:asciiTheme="majorEastAsia" w:hAnsiTheme="majorEastAsia" w:eastAsiaTheme="majorEastAsia" w:cstheme="majorEastAsia"/>
          <w:color w:val="00000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color w:val="000000"/>
          <w:sz w:val="44"/>
          <w:szCs w:val="44"/>
        </w:rPr>
        <w:t>关于202</w:t>
      </w:r>
      <w:r>
        <w:rPr>
          <w:rFonts w:hint="eastAsia" w:asciiTheme="majorEastAsia" w:hAnsiTheme="majorEastAsia" w:eastAsiaTheme="majorEastAsia" w:cstheme="majorEastAsia"/>
          <w:color w:val="000000"/>
          <w:sz w:val="44"/>
          <w:szCs w:val="44"/>
          <w:lang w:val="en-US" w:eastAsia="zh-CN"/>
        </w:rPr>
        <w:t>2</w:t>
      </w:r>
      <w:r>
        <w:rPr>
          <w:rFonts w:hint="eastAsia" w:asciiTheme="majorEastAsia" w:hAnsiTheme="majorEastAsia" w:eastAsiaTheme="majorEastAsia" w:cstheme="majorEastAsia"/>
          <w:color w:val="000000"/>
          <w:sz w:val="44"/>
          <w:szCs w:val="44"/>
        </w:rPr>
        <w:t>年度区本级</w:t>
      </w:r>
    </w:p>
    <w:p>
      <w:pPr>
        <w:spacing w:line="620" w:lineRule="exact"/>
        <w:jc w:val="center"/>
        <w:rPr>
          <w:rFonts w:asciiTheme="majorEastAsia" w:hAnsiTheme="majorEastAsia" w:eastAsiaTheme="majorEastAsia"/>
          <w:color w:val="00000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color w:val="000000"/>
          <w:sz w:val="44"/>
          <w:szCs w:val="44"/>
        </w:rPr>
        <w:t>一般公共预算收支决算的说明</w:t>
      </w:r>
    </w:p>
    <w:p>
      <w:pPr>
        <w:spacing w:line="620" w:lineRule="exact"/>
        <w:jc w:val="center"/>
        <w:rPr>
          <w:rFonts w:asciiTheme="majorEastAsia" w:hAnsiTheme="majorEastAsia" w:eastAsiaTheme="majorEastAsia"/>
          <w:color w:val="000000"/>
          <w:sz w:val="44"/>
          <w:szCs w:val="44"/>
        </w:rPr>
      </w:pPr>
    </w:p>
    <w:p>
      <w:pPr>
        <w:pStyle w:val="3"/>
        <w:ind w:firstLine="640" w:firstLineChars="200"/>
        <w:rPr>
          <w:rFonts w:ascii="仿宋" w:hAnsi="仿宋" w:eastAsia="仿宋" w:cs="仿宋"/>
          <w:color w:val="000000"/>
          <w:szCs w:val="32"/>
        </w:rPr>
      </w:pPr>
      <w:r>
        <w:rPr>
          <w:rFonts w:ascii="仿宋" w:hAnsi="仿宋" w:eastAsia="仿宋" w:cs="仿宋"/>
          <w:color w:val="000000"/>
          <w:szCs w:val="32"/>
        </w:rPr>
        <w:t>202</w:t>
      </w:r>
      <w:r>
        <w:rPr>
          <w:rFonts w:hint="eastAsia" w:ascii="仿宋" w:hAnsi="仿宋" w:eastAsia="仿宋" w:cs="仿宋"/>
          <w:color w:val="000000"/>
          <w:szCs w:val="32"/>
          <w:lang w:val="en-US" w:eastAsia="zh-CN"/>
        </w:rPr>
        <w:t>2</w:t>
      </w:r>
      <w:r>
        <w:rPr>
          <w:rFonts w:ascii="仿宋" w:hAnsi="仿宋" w:eastAsia="仿宋" w:cs="仿宋"/>
          <w:color w:val="000000"/>
          <w:szCs w:val="32"/>
        </w:rPr>
        <w:t>年，</w:t>
      </w:r>
      <w:r>
        <w:rPr>
          <w:rFonts w:hint="eastAsia" w:ascii="仿宋" w:hAnsi="仿宋" w:eastAsia="仿宋" w:cs="仿宋"/>
          <w:color w:val="000000"/>
          <w:szCs w:val="32"/>
        </w:rPr>
        <w:t>区</w:t>
      </w:r>
      <w:r>
        <w:rPr>
          <w:rFonts w:ascii="仿宋" w:hAnsi="仿宋" w:eastAsia="仿宋" w:cs="仿宋"/>
          <w:color w:val="000000"/>
          <w:szCs w:val="32"/>
        </w:rPr>
        <w:t>本级一般公共预算收入完成</w:t>
      </w:r>
      <w:r>
        <w:rPr>
          <w:rFonts w:hint="eastAsia" w:ascii="仿宋" w:hAnsi="仿宋" w:eastAsia="仿宋" w:cs="仿宋"/>
          <w:color w:val="000000"/>
          <w:szCs w:val="32"/>
          <w:lang w:val="en-US" w:eastAsia="zh-CN"/>
        </w:rPr>
        <w:t>3.6</w:t>
      </w:r>
      <w:r>
        <w:rPr>
          <w:rFonts w:ascii="仿宋" w:hAnsi="仿宋" w:eastAsia="仿宋" w:cs="仿宋"/>
          <w:color w:val="000000"/>
          <w:szCs w:val="32"/>
        </w:rPr>
        <w:t>亿元，</w:t>
      </w:r>
      <w:r>
        <w:rPr>
          <w:rFonts w:hint="eastAsia" w:ascii="仿宋" w:hAnsi="仿宋" w:eastAsia="仿宋" w:cs="仿宋"/>
          <w:color w:val="000000"/>
          <w:szCs w:val="32"/>
        </w:rPr>
        <w:t>为预算的</w:t>
      </w:r>
      <w:r>
        <w:rPr>
          <w:rFonts w:hint="eastAsia" w:ascii="仿宋" w:hAnsi="仿宋" w:eastAsia="仿宋" w:cs="仿宋"/>
          <w:color w:val="000000"/>
          <w:szCs w:val="32"/>
          <w:lang w:val="en-US" w:eastAsia="zh-CN"/>
        </w:rPr>
        <w:t>100.9</w:t>
      </w:r>
      <w:r>
        <w:rPr>
          <w:rFonts w:hint="eastAsia" w:ascii="仿宋" w:hAnsi="仿宋" w:eastAsia="仿宋" w:cs="仿宋"/>
          <w:color w:val="000000"/>
          <w:szCs w:val="32"/>
        </w:rPr>
        <w:t>%，同比</w:t>
      </w:r>
      <w:r>
        <w:rPr>
          <w:rFonts w:hint="eastAsia" w:ascii="仿宋" w:hAnsi="仿宋" w:eastAsia="仿宋" w:cs="仿宋"/>
          <w:color w:val="000000"/>
          <w:szCs w:val="32"/>
          <w:lang w:eastAsia="zh-CN"/>
        </w:rPr>
        <w:t>下降</w:t>
      </w:r>
      <w:r>
        <w:rPr>
          <w:rFonts w:hint="eastAsia" w:ascii="仿宋" w:hAnsi="仿宋" w:eastAsia="仿宋" w:cs="仿宋"/>
          <w:color w:val="000000"/>
          <w:szCs w:val="32"/>
          <w:lang w:val="en-US" w:eastAsia="zh-CN"/>
        </w:rPr>
        <w:t>5.2</w:t>
      </w:r>
      <w:r>
        <w:rPr>
          <w:rFonts w:ascii="仿宋" w:hAnsi="仿宋" w:eastAsia="仿宋" w:cs="仿宋"/>
          <w:color w:val="000000"/>
          <w:szCs w:val="32"/>
        </w:rPr>
        <w:t>%。加上省以上补助收入、地方债券收入等，收入总计</w:t>
      </w:r>
      <w:r>
        <w:rPr>
          <w:rFonts w:hint="eastAsia" w:ascii="仿宋" w:hAnsi="仿宋" w:eastAsia="仿宋" w:cs="仿宋"/>
          <w:color w:val="000000"/>
          <w:szCs w:val="32"/>
          <w:lang w:val="en-US" w:eastAsia="zh-CN"/>
        </w:rPr>
        <w:t>14.8</w:t>
      </w:r>
      <w:r>
        <w:rPr>
          <w:rFonts w:ascii="仿宋" w:hAnsi="仿宋" w:eastAsia="仿宋" w:cs="仿宋"/>
          <w:color w:val="000000"/>
          <w:szCs w:val="32"/>
        </w:rPr>
        <w:t>亿元。</w:t>
      </w:r>
      <w:r>
        <w:rPr>
          <w:rFonts w:hint="eastAsia" w:ascii="仿宋" w:hAnsi="仿宋" w:eastAsia="仿宋" w:cs="仿宋"/>
          <w:color w:val="000000"/>
          <w:szCs w:val="32"/>
        </w:rPr>
        <w:t>区</w:t>
      </w:r>
      <w:r>
        <w:rPr>
          <w:rFonts w:ascii="仿宋" w:hAnsi="仿宋" w:eastAsia="仿宋" w:cs="仿宋"/>
          <w:color w:val="000000"/>
          <w:szCs w:val="32"/>
        </w:rPr>
        <w:t>本级一般公共预算支出完成</w:t>
      </w:r>
      <w:r>
        <w:rPr>
          <w:rFonts w:hint="eastAsia" w:ascii="仿宋" w:hAnsi="仿宋" w:eastAsia="仿宋" w:cs="仿宋"/>
          <w:color w:val="000000"/>
          <w:szCs w:val="32"/>
          <w:lang w:val="en-US" w:eastAsia="zh-CN"/>
        </w:rPr>
        <w:t>8.5</w:t>
      </w:r>
      <w:r>
        <w:rPr>
          <w:rFonts w:ascii="仿宋" w:hAnsi="仿宋" w:eastAsia="仿宋" w:cs="仿宋"/>
          <w:color w:val="000000"/>
          <w:szCs w:val="32"/>
        </w:rPr>
        <w:t>亿元，</w:t>
      </w:r>
      <w:r>
        <w:rPr>
          <w:rFonts w:hint="eastAsia" w:ascii="仿宋" w:hAnsi="仿宋" w:eastAsia="仿宋" w:cs="仿宋"/>
          <w:color w:val="000000"/>
          <w:szCs w:val="32"/>
        </w:rPr>
        <w:t>为年初预算的</w:t>
      </w:r>
      <w:r>
        <w:rPr>
          <w:rFonts w:hint="eastAsia" w:ascii="仿宋" w:hAnsi="仿宋" w:eastAsia="仿宋" w:cs="仿宋"/>
          <w:color w:val="000000"/>
          <w:szCs w:val="32"/>
          <w:lang w:val="en-US" w:eastAsia="zh-CN"/>
        </w:rPr>
        <w:t>117.2</w:t>
      </w:r>
      <w:r>
        <w:rPr>
          <w:rFonts w:hint="eastAsia" w:ascii="仿宋" w:hAnsi="仿宋" w:eastAsia="仿宋" w:cs="仿宋"/>
          <w:color w:val="000000"/>
          <w:szCs w:val="32"/>
        </w:rPr>
        <w:t>%，同比</w:t>
      </w:r>
      <w:r>
        <w:rPr>
          <w:rFonts w:hint="eastAsia" w:ascii="仿宋" w:hAnsi="仿宋" w:eastAsia="仿宋" w:cs="仿宋"/>
          <w:color w:val="000000"/>
          <w:szCs w:val="32"/>
          <w:lang w:eastAsia="zh-CN"/>
        </w:rPr>
        <w:t>增长</w:t>
      </w:r>
      <w:r>
        <w:rPr>
          <w:rFonts w:hint="eastAsia" w:ascii="仿宋" w:hAnsi="仿宋" w:eastAsia="仿宋" w:cs="仿宋"/>
          <w:color w:val="000000"/>
          <w:szCs w:val="32"/>
          <w:lang w:val="en-US" w:eastAsia="zh-CN"/>
        </w:rPr>
        <w:t>37.2</w:t>
      </w:r>
      <w:r>
        <w:rPr>
          <w:rFonts w:ascii="仿宋" w:hAnsi="仿宋" w:eastAsia="仿宋" w:cs="仿宋"/>
          <w:color w:val="000000"/>
          <w:szCs w:val="32"/>
        </w:rPr>
        <w:t>%，加上上解上级支出、政府债务还本支出、结转下年继续使用专项支出等，支出总计</w:t>
      </w:r>
      <w:r>
        <w:rPr>
          <w:rFonts w:hint="eastAsia" w:ascii="仿宋" w:hAnsi="仿宋" w:eastAsia="仿宋" w:cs="仿宋"/>
          <w:color w:val="000000"/>
          <w:szCs w:val="32"/>
          <w:lang w:val="en-US" w:eastAsia="zh-CN"/>
        </w:rPr>
        <w:t>14.8</w:t>
      </w:r>
      <w:r>
        <w:rPr>
          <w:rFonts w:ascii="仿宋" w:hAnsi="仿宋" w:eastAsia="仿宋" w:cs="仿宋"/>
          <w:color w:val="000000"/>
          <w:szCs w:val="32"/>
        </w:rPr>
        <w:t>亿元。202</w:t>
      </w:r>
      <w:r>
        <w:rPr>
          <w:rFonts w:hint="eastAsia" w:ascii="仿宋" w:hAnsi="仿宋" w:eastAsia="仿宋" w:cs="仿宋"/>
          <w:color w:val="000000"/>
          <w:szCs w:val="32"/>
          <w:lang w:val="en-US" w:eastAsia="zh-CN"/>
        </w:rPr>
        <w:t>2</w:t>
      </w:r>
      <w:r>
        <w:rPr>
          <w:rFonts w:ascii="仿宋" w:hAnsi="仿宋" w:eastAsia="仿宋" w:cs="仿宋"/>
          <w:color w:val="000000"/>
          <w:szCs w:val="32"/>
        </w:rPr>
        <w:t>年收支相抵，实现收支平衡。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52F"/>
    <w:rsid w:val="0000052F"/>
    <w:rsid w:val="00062D96"/>
    <w:rsid w:val="0011478E"/>
    <w:rsid w:val="001B305F"/>
    <w:rsid w:val="004C7C22"/>
    <w:rsid w:val="006006FF"/>
    <w:rsid w:val="00767E89"/>
    <w:rsid w:val="00776CA5"/>
    <w:rsid w:val="00A95DF7"/>
    <w:rsid w:val="00BC35E4"/>
    <w:rsid w:val="00D579AB"/>
    <w:rsid w:val="00E47262"/>
    <w:rsid w:val="05AF69B9"/>
    <w:rsid w:val="193676D2"/>
    <w:rsid w:val="1FA95C9A"/>
    <w:rsid w:val="51465AC7"/>
    <w:rsid w:val="550E0F37"/>
    <w:rsid w:val="5A0C3FC5"/>
    <w:rsid w:val="74865E57"/>
    <w:rsid w:val="7D4562C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next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2"/>
    <w:basedOn w:val="1"/>
    <w:unhideWhenUsed/>
    <w:uiPriority w:val="99"/>
    <w:pPr>
      <w:tabs>
        <w:tab w:val="left" w:pos="5040"/>
      </w:tabs>
      <w:ind w:firstLine="630"/>
    </w:pPr>
    <w:rPr>
      <w:rFonts w:eastAsia="仿宋_GB2312"/>
      <w:szCs w:val="20"/>
    </w:rPr>
  </w:style>
  <w:style w:type="paragraph" w:styleId="4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8">
    <w:name w:val="Char1"/>
    <w:basedOn w:val="1"/>
    <w:qFormat/>
    <w:uiPriority w:val="0"/>
  </w:style>
  <w:style w:type="character" w:customStyle="1" w:styleId="9">
    <w:name w:val="批注框文本 Char"/>
    <w:basedOn w:val="6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6"/>
    <w:link w:val="5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30</Words>
  <Characters>171</Characters>
  <Lines>1</Lines>
  <Paragraphs>1</Paragraphs>
  <TotalTime>5</TotalTime>
  <ScaleCrop>false</ScaleCrop>
  <LinksUpToDate>false</LinksUpToDate>
  <CharactersWithSpaces>200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2019-08-12T06:05:00Z</dcterms:created>
  <dc:creator>admin</dc:creator>
  <cp:lastModifiedBy>Administrator</cp:lastModifiedBy>
  <dcterms:modified xsi:type="dcterms:W3CDTF">2023-10-25T07:45:20Z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