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关于202</w:t>
      </w:r>
      <w:r>
        <w:rPr>
          <w:rFonts w:hint="eastAsia" w:ascii="宋体" w:hAnsi="宋体"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sz w:val="44"/>
          <w:szCs w:val="44"/>
        </w:rPr>
        <w:t>年度区本级国有资本经营</w:t>
      </w:r>
    </w:p>
    <w:p>
      <w:pPr>
        <w:jc w:val="center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预算收支决算的说明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</w:rPr>
        <w:t>年，区</w:t>
      </w:r>
      <w:r>
        <w:rPr>
          <w:rFonts w:ascii="仿宋" w:hAnsi="仿宋" w:eastAsia="仿宋"/>
          <w:color w:val="000000"/>
          <w:sz w:val="32"/>
          <w:szCs w:val="32"/>
        </w:rPr>
        <w:t>本级国有资本经营预算收入完成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14</w:t>
      </w:r>
      <w:r>
        <w:rPr>
          <w:rFonts w:ascii="仿宋" w:hAnsi="仿宋" w:eastAsia="仿宋"/>
          <w:color w:val="000000"/>
          <w:sz w:val="32"/>
          <w:szCs w:val="32"/>
        </w:rPr>
        <w:t>万元，加上上级补助收入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99</w:t>
      </w:r>
      <w:r>
        <w:rPr>
          <w:rFonts w:ascii="仿宋" w:hAnsi="仿宋" w:eastAsia="仿宋"/>
          <w:color w:val="000000"/>
          <w:sz w:val="32"/>
          <w:szCs w:val="32"/>
        </w:rPr>
        <w:t>万元，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上年结余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5920万元；</w:t>
      </w:r>
      <w:r>
        <w:rPr>
          <w:rFonts w:ascii="仿宋" w:hAnsi="仿宋" w:eastAsia="仿宋"/>
          <w:color w:val="000000"/>
          <w:sz w:val="32"/>
          <w:szCs w:val="32"/>
        </w:rPr>
        <w:t>收入总计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6033</w:t>
      </w:r>
      <w:r>
        <w:rPr>
          <w:rFonts w:ascii="仿宋" w:hAnsi="仿宋" w:eastAsia="仿宋"/>
          <w:color w:val="000000"/>
          <w:sz w:val="32"/>
          <w:szCs w:val="32"/>
        </w:rPr>
        <w:t>万元。</w:t>
      </w:r>
    </w:p>
    <w:p>
      <w:pPr>
        <w:pStyle w:val="3"/>
        <w:ind w:firstLine="640" w:firstLineChars="200"/>
        <w:rPr>
          <w:rFonts w:ascii="仿宋" w:hAnsi="仿宋" w:eastAsia="仿宋"/>
          <w:color w:val="000000"/>
          <w:szCs w:val="32"/>
        </w:rPr>
      </w:pPr>
      <w:r>
        <w:rPr>
          <w:rFonts w:hint="eastAsia" w:ascii="仿宋" w:hAnsi="仿宋" w:eastAsia="仿宋"/>
          <w:color w:val="000000"/>
          <w:szCs w:val="32"/>
        </w:rPr>
        <w:t>202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000000"/>
          <w:szCs w:val="32"/>
        </w:rPr>
        <w:t>年，区</w:t>
      </w:r>
      <w:r>
        <w:rPr>
          <w:rFonts w:ascii="仿宋" w:hAnsi="仿宋" w:eastAsia="仿宋"/>
          <w:color w:val="000000"/>
          <w:szCs w:val="32"/>
        </w:rPr>
        <w:t>本级国有资本经营预算支出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000000"/>
          <w:szCs w:val="32"/>
        </w:rPr>
        <w:t>9</w:t>
      </w:r>
      <w:r>
        <w:rPr>
          <w:rFonts w:ascii="仿宋" w:hAnsi="仿宋" w:eastAsia="仿宋"/>
          <w:color w:val="000000"/>
          <w:szCs w:val="32"/>
        </w:rPr>
        <w:t>万元，</w:t>
      </w:r>
      <w:r>
        <w:rPr>
          <w:rFonts w:hint="eastAsia" w:ascii="仿宋" w:hAnsi="仿宋" w:eastAsia="仿宋"/>
          <w:color w:val="000000"/>
          <w:szCs w:val="32"/>
          <w:lang w:eastAsia="zh-CN"/>
        </w:rPr>
        <w:t>结转下年支出等</w:t>
      </w:r>
      <w:r>
        <w:rPr>
          <w:rFonts w:hint="eastAsia" w:ascii="仿宋" w:hAnsi="仿宋" w:eastAsia="仿宋"/>
          <w:color w:val="000000"/>
          <w:szCs w:val="32"/>
        </w:rPr>
        <w:t>59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34</w:t>
      </w:r>
      <w:r>
        <w:rPr>
          <w:rFonts w:ascii="仿宋" w:hAnsi="仿宋" w:eastAsia="仿宋"/>
          <w:color w:val="000000"/>
          <w:szCs w:val="32"/>
        </w:rPr>
        <w:t>万元，支出总计</w:t>
      </w:r>
      <w:r>
        <w:rPr>
          <w:rFonts w:hint="eastAsia" w:ascii="仿宋" w:hAnsi="仿宋" w:eastAsia="仿宋"/>
          <w:color w:val="000000"/>
          <w:szCs w:val="32"/>
          <w:lang w:val="en-US" w:eastAsia="zh-CN"/>
        </w:rPr>
        <w:t>6033</w:t>
      </w:r>
      <w:r>
        <w:rPr>
          <w:rFonts w:ascii="仿宋" w:hAnsi="仿宋" w:eastAsia="仿宋"/>
          <w:color w:val="000000"/>
          <w:szCs w:val="32"/>
        </w:rPr>
        <w:t>万元。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bookmarkStart w:id="0" w:name="_GoBack"/>
      <w:bookmarkEnd w:id="0"/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BCC"/>
    <w:rsid w:val="009E6BCC"/>
    <w:rsid w:val="00C334AC"/>
    <w:rsid w:val="00E8473C"/>
    <w:rsid w:val="406879BF"/>
    <w:rsid w:val="62CB6DD0"/>
    <w:rsid w:val="6673105E"/>
    <w:rsid w:val="7719413B"/>
    <w:rsid w:val="777A0E2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2"/>
    <w:basedOn w:val="1"/>
    <w:unhideWhenUsed/>
    <w:qFormat/>
    <w:uiPriority w:val="0"/>
    <w:pPr>
      <w:tabs>
        <w:tab w:val="left" w:pos="5040"/>
      </w:tabs>
      <w:ind w:firstLine="630"/>
    </w:pPr>
    <w:rPr>
      <w:rFonts w:ascii="Times New Roman" w:hAnsi="Times New Roman" w:eastAsia="仿宋_GB2312"/>
      <w:sz w:val="32"/>
      <w:szCs w:val="20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Char1"/>
    <w:basedOn w:val="1"/>
    <w:qFormat/>
    <w:uiPriority w:val="0"/>
    <w:rPr>
      <w:rFonts w:ascii="Times New Roman" w:hAnsi="Times New Roman"/>
      <w:sz w:val="32"/>
      <w:szCs w:val="32"/>
    </w:rPr>
  </w:style>
  <w:style w:type="character" w:customStyle="1" w:styleId="8">
    <w:name w:val="页眉 Char"/>
    <w:basedOn w:val="5"/>
    <w:link w:val="2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23</Words>
  <Characters>136</Characters>
  <Lines>1</Lines>
  <Paragraphs>1</Paragraphs>
  <TotalTime>3</TotalTime>
  <ScaleCrop>false</ScaleCrop>
  <LinksUpToDate>false</LinksUpToDate>
  <CharactersWithSpaces>158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Administrator</cp:lastModifiedBy>
  <cp:lastPrinted>2022-08-10T07:27:00Z</cp:lastPrinted>
  <dcterms:modified xsi:type="dcterms:W3CDTF">2023-10-25T08:55:38Z</dcterms:modified>
  <dc:title>关于2020年度市本级国有资本经营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