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2F05F">
      <w:pPr>
        <w:pStyle w:val="6"/>
        <w:widowControl/>
        <w:spacing w:beforeAutospacing="0" w:after="300" w:afterAutospacing="0" w:line="30" w:lineRule="atLeast"/>
        <w:ind w:firstLine="720"/>
        <w:jc w:val="center"/>
        <w:rPr>
          <w:rFonts w:ascii="Arial" w:hAnsi="Arial" w:eastAsia="微软雅黑" w:cs="Arial"/>
          <w:b/>
          <w:color w:val="333333"/>
          <w:sz w:val="36"/>
          <w:szCs w:val="36"/>
          <w:shd w:val="clear" w:color="auto" w:fill="FFFFFF"/>
        </w:rPr>
      </w:pPr>
      <w:r>
        <w:rPr>
          <w:rStyle w:val="9"/>
          <w:rFonts w:ascii="Arial" w:hAnsi="Arial" w:eastAsia="微软雅黑" w:cs="Arial"/>
          <w:color w:val="333333"/>
          <w:sz w:val="36"/>
          <w:szCs w:val="36"/>
          <w:shd w:val="clear" w:color="auto" w:fill="FFFFFF"/>
        </w:rPr>
        <w:t>2022年本溪</w:t>
      </w:r>
      <w:r>
        <w:rPr>
          <w:rStyle w:val="9"/>
          <w:rFonts w:hint="eastAsia" w:ascii="Arial" w:hAnsi="Arial" w:eastAsia="微软雅黑" w:cs="Arial"/>
          <w:color w:val="333333"/>
          <w:sz w:val="36"/>
          <w:szCs w:val="36"/>
          <w:shd w:val="clear" w:color="auto" w:fill="FFFFFF"/>
        </w:rPr>
        <w:t>市平山区</w:t>
      </w:r>
      <w:r>
        <w:rPr>
          <w:rStyle w:val="9"/>
          <w:rFonts w:ascii="Arial" w:hAnsi="Arial" w:eastAsia="微软雅黑" w:cs="Arial"/>
          <w:color w:val="333333"/>
          <w:sz w:val="36"/>
          <w:szCs w:val="36"/>
          <w:shd w:val="clear" w:color="auto" w:fill="FFFFFF"/>
        </w:rPr>
        <w:t>预算说明</w:t>
      </w:r>
    </w:p>
    <w:p w14:paraId="58370108">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（一）一般公共预算说明</w:t>
      </w:r>
    </w:p>
    <w:p w14:paraId="0E421D38">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1.全区一般公共预算收支</w:t>
      </w:r>
    </w:p>
    <w:p w14:paraId="131D267C">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2022年，全区一般公共预算收入安排41230万元，同比增长5.0%。其中：税收收入38230万元，增长0.1%，占一般公共预算收入的92.7%；非税收入3000万元，增长7.3%。</w:t>
      </w:r>
    </w:p>
    <w:p w14:paraId="34D37ECA">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2022年，全区一般公共预算支出安排56000万元。其中：财力安排支出55850万元，比上年预算数增长26.7%，上级专项上年结转安排支出150万元。</w:t>
      </w:r>
    </w:p>
    <w:p w14:paraId="1EA1F813">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全区一般公共预算收入41230万元，加上上级补助和调入资金等51418万元，收入总计92648万元。全区一般公共预算支出56000万元，加上上解支出和结转下年使用等36648万元，支出总计92648万元。</w:t>
      </w:r>
    </w:p>
    <w:p w14:paraId="32DE1EF2">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2.区本级一般公共预算收支</w:t>
      </w:r>
    </w:p>
    <w:p w14:paraId="3AE66EEF">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区本级一般公共预算收入安排41230万元，同比增长5.0%。其中：税收收入38230万元，增长0.1%，占一般公共预算收入的92.7%；非税收入3000万元，增长7.3%。</w:t>
      </w:r>
    </w:p>
    <w:p w14:paraId="39E1921D">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区本级一般公共预算支出安排56000万元。其中：财力安排支出55850万元，比上年预算数增长26.7%，上级专项上年结转安排支出150万元。财力安排支出中：一般公共服务支出11561万元，下降3.7%；教育支出12659万元，增长24.8%；社会保障和就业支出17256万元，增长48.0%；农林水支出215万元，下降95.3%；城乡社区支出2554万元，增长50.7%。加上上解支出和结转下年使用等36648万元，支出总计92648万元。</w:t>
      </w:r>
    </w:p>
    <w:p w14:paraId="0E42358E">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3.区本级对下转移支付</w:t>
      </w:r>
    </w:p>
    <w:p w14:paraId="44191ED8">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2022年上级财政对下级转移性支出0万元，其中返还性支出0万元、一般性转移支付支出0万元、专项转移支付支出0万元。</w:t>
      </w:r>
    </w:p>
    <w:p w14:paraId="17E7F7E5">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返还性支出主要是统筹使用，用于“三保”支出，其中增值税返还0万元；消费税返还0万元；所得税基数返还0万元；成品油税费返改革返还0万元；增值税五五分享税收返还0万元。</w:t>
      </w:r>
    </w:p>
    <w:p w14:paraId="1783124C">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一般性转移支付0万元。一是按照资金使用用途划分：具有财力性质的补助收入0万元，主要是统筹使用，用于“三保”方面支出；具有专项性用途补助收入0万元，其中重点生态功能区转移支付0万元，主要用于县区生态环境保护方面；教育共同财政事权转移支付0万元，主要用于县区教育支出；社会保障和就业共同财政事权转移支付0万元，主要用于优抚和流浪乞讨人员临时救助等方面；医疗卫生共同财政事权转移支付0万元，主要用于县区新型农村合作医疗补助、公立医院补助、基本药物制度保障和公共卫生服务等方面；农林水共同财政事权转移支付0万元，主要用于农林水支出方面。</w:t>
      </w:r>
    </w:p>
    <w:p w14:paraId="3F3B5A95">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专项转移支付0万元，主要用于县区社会保障、卫生健康、农林水等方面支出。其中社会保障就业0万元、卫生健康0万元、农林水0万元、住房保障0万元。</w:t>
      </w:r>
    </w:p>
    <w:p w14:paraId="22FE21B3">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4.区本级“三公”经费预算汇总情况说明</w:t>
      </w:r>
    </w:p>
    <w:p w14:paraId="5C25329A">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本溪市平山区本级部门，包括区级行政单位（含参照公务员法管理的事业单位）、事业单位等使用当年财政拨款安排的“三公”经费预算为200.82万元。其中，因公出国（境）费0万元，公务接待费6.15万元，公务用车购置及运行费194.67万元（公务用车购置37万元，公务用车运行费157.67万元）。2022年“三公”经费预算比2021年减少27.54万元，下降12.1%。其中：因公出国（境）费减少0万元；公务接待费减少31.25万元，下降83.6%；公务用车购置费增加37万元，2021年未安排，公务用车运行费减少157.67万元，下降17.4%，。“三公”经费预算减少的主要原因是实行事业单位公车改革压减公务车辆以及各部门严格执行中央八项规定</w:t>
      </w:r>
      <w:bookmarkStart w:id="0" w:name="_GoBack"/>
      <w:bookmarkEnd w:id="0"/>
      <w:r>
        <w:rPr>
          <w:rFonts w:hint="eastAsia" w:ascii="仿宋_GB2312" w:hAnsi="Arial" w:eastAsia="仿宋_GB2312" w:cs="Arial"/>
          <w:color w:val="333333"/>
          <w:sz w:val="32"/>
          <w:szCs w:val="32"/>
          <w:shd w:val="clear" w:color="auto" w:fill="FFFFFF"/>
        </w:rPr>
        <w:t>和国务院“约法三章”要求，认真落实《党政机关厉行节约反对浪费条例》，加强因公出国（境）管理，严格控制公务接待费用，严格公务用车配备使用，确保“三公”经费只减不增。</w:t>
      </w:r>
    </w:p>
    <w:p w14:paraId="15E0AD13">
      <w:pPr>
        <w:pStyle w:val="6"/>
        <w:widowControl/>
        <w:spacing w:beforeAutospacing="0" w:after="300" w:afterAutospacing="0" w:line="30" w:lineRule="atLeast"/>
        <w:ind w:firstLine="36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（二）政府性基金预算说明</w:t>
      </w:r>
    </w:p>
    <w:p w14:paraId="6C9E60AF">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1.全区政府性基金预算收支</w:t>
      </w:r>
    </w:p>
    <w:p w14:paraId="164BFCF4">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2022年，全区政府性基金收入安排10436万元，增长22.4%。其中：国有土地使用权出让收入10436万元，增长509.2%。</w:t>
      </w:r>
    </w:p>
    <w:p w14:paraId="1D31943A">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全区政府性基金支出安排15333万元。其中：财力安排支出15333万元，增长130.9%。财力安排支出中：城乡社区支出9232万元，增长234.5%；债务付息支出6101万元，增长86.0%。全区政府性基金收入安排10436万元，加上上级补助和调入资金等7041万元，收入总计17477万元。全区政府性基金支出安排15333万元，加上调出资金等2144万元，支出总计17477万元。</w:t>
      </w:r>
    </w:p>
    <w:p w14:paraId="0B6B743B">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2.区本级政府性基金预算收支</w:t>
      </w:r>
    </w:p>
    <w:p w14:paraId="2B6947AD">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2022年，全区政府性基金收入安排10436万元，增长22.4%。其中：国有土地使用权出让收入10436万元，增长509.2%。，加上上级补助和调入资金等7041万元，收入总计17477万元。</w:t>
      </w:r>
    </w:p>
    <w:p w14:paraId="6B1737F8">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区本级政府性基金支出安排15333万元，其中：财力安排支出15333万元，增长130.9%。财力安排支出中：城乡社区支出9232万元，增长234.5%；债务付息支出6101万元，增长86.0%。加上调出资金等2144万元，支出总计17477万元。</w:t>
      </w:r>
    </w:p>
    <w:p w14:paraId="77E3B510">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3.区本级对下转移支付</w:t>
      </w:r>
    </w:p>
    <w:p w14:paraId="4C174F53">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区本级对下转移支付0万元。</w:t>
      </w:r>
    </w:p>
    <w:p w14:paraId="14B4E52E">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（三）国有资本经营预算说明</w:t>
      </w:r>
    </w:p>
    <w:p w14:paraId="3A8BE91A">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1.全区国有资本经营预算收支</w:t>
      </w:r>
    </w:p>
    <w:p w14:paraId="21F3BA74">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全区国有资本经营预算收入安排45万元，加上上级转移支付和上年结转收入0万元，收入总计45万元。全区国有资本经营预算支出安排0万元，加上调入一般公共预算收入使用45万元，结转0万元，支出总计45万元。</w:t>
      </w:r>
    </w:p>
    <w:p w14:paraId="493FF3CF">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Style w:val="9"/>
          <w:rFonts w:hint="eastAsia" w:ascii="仿宋_GB2312" w:hAnsi="Arial" w:eastAsia="仿宋_GB2312" w:cs="Arial"/>
          <w:color w:val="333333"/>
          <w:sz w:val="32"/>
          <w:szCs w:val="32"/>
          <w:shd w:val="clear" w:color="auto" w:fill="FFFFFF"/>
        </w:rPr>
        <w:t>2.区本级国有资本经营预算收支</w:t>
      </w:r>
    </w:p>
    <w:p w14:paraId="02B79173">
      <w:pPr>
        <w:pStyle w:val="6"/>
        <w:widowControl/>
        <w:spacing w:beforeAutospacing="0" w:after="300" w:afterAutospacing="0" w:line="60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区本级国有资本经营预算收入安排45万元，加上上级转移支付0万元，收入总计45万元，区本级国有资本经营预算支出安排0万元，加上调入一般公共预算统筹使用、补助下级等45万元，支出总计45万元。</w:t>
      </w:r>
    </w:p>
    <w:p w14:paraId="5975856F">
      <w:pPr>
        <w:pStyle w:val="6"/>
        <w:widowControl/>
        <w:spacing w:beforeAutospacing="0" w:after="300" w:afterAutospacing="0" w:line="30" w:lineRule="atLeast"/>
        <w:ind w:firstLine="36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（四）社会保险基金预算说明</w:t>
      </w:r>
    </w:p>
    <w:p w14:paraId="1EEFD88B">
      <w:pPr>
        <w:pStyle w:val="6"/>
        <w:widowControl/>
        <w:spacing w:beforeAutospacing="0" w:after="300" w:afterAutospacing="0" w:line="30" w:lineRule="atLeast"/>
        <w:ind w:firstLine="720"/>
        <w:jc w:val="both"/>
        <w:rPr>
          <w:rFonts w:hint="eastAsia" w:ascii="仿宋_GB2312" w:hAnsi="Calibri" w:eastAsia="仿宋_GB2312" w:cs="Calibri"/>
          <w:sz w:val="32"/>
          <w:szCs w:val="32"/>
        </w:rPr>
      </w:pPr>
      <w:r>
        <w:rPr>
          <w:rFonts w:hint="eastAsia" w:ascii="仿宋_GB2312" w:hAnsi="Arial" w:eastAsia="仿宋_GB2312" w:cs="Arial"/>
          <w:color w:val="333333"/>
          <w:sz w:val="32"/>
          <w:szCs w:val="32"/>
          <w:shd w:val="clear" w:color="auto" w:fill="FFFFFF"/>
        </w:rPr>
        <w:t>2022年，六项社会保险基金收入安排0万元，同比增长0%。社会保险基金支出安排0万元，增长0%。需要说明的是，企业养老保险基金实行省级统筹，由省级统收统支，不在我区社会保险基金收支预算表中体现</w:t>
      </w:r>
    </w:p>
    <w:p w14:paraId="112EF531">
      <w:pPr>
        <w:pStyle w:val="11"/>
        <w:spacing w:line="600" w:lineRule="exact"/>
        <w:ind w:firstLine="640" w:firstLineChars="200"/>
        <w:rPr>
          <w:rFonts w:hint="eastAsia" w:ascii="仿宋_GB2312" w:hAnsi="宋体" w:eastAsia="仿宋_GB2312" w:cs="宋体"/>
          <w:sz w:val="32"/>
          <w:szCs w:val="32"/>
        </w:rPr>
      </w:pPr>
    </w:p>
    <w:p w14:paraId="78371024">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Q5YWYxNGNmOGExZjMwMmMzYjQyYTU1MjY1YTIwYjkifQ=="/>
  </w:docVars>
  <w:rsids>
    <w:rsidRoot w:val="007C5A57"/>
    <w:rsid w:val="00131104"/>
    <w:rsid w:val="001C5B99"/>
    <w:rsid w:val="003F05E3"/>
    <w:rsid w:val="00434F1C"/>
    <w:rsid w:val="00481480"/>
    <w:rsid w:val="004831FF"/>
    <w:rsid w:val="0056331E"/>
    <w:rsid w:val="005C53E4"/>
    <w:rsid w:val="007B76B2"/>
    <w:rsid w:val="007C5A57"/>
    <w:rsid w:val="007E0C3B"/>
    <w:rsid w:val="0082108B"/>
    <w:rsid w:val="008945B9"/>
    <w:rsid w:val="008C3F8B"/>
    <w:rsid w:val="00B1351C"/>
    <w:rsid w:val="00B17638"/>
    <w:rsid w:val="00C815D9"/>
    <w:rsid w:val="00C86F5D"/>
    <w:rsid w:val="00DF360D"/>
    <w:rsid w:val="16C77BB6"/>
    <w:rsid w:val="52A97F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paragraph" w:customStyle="1" w:styleId="11">
    <w:name w:val="文本块1"/>
    <w:basedOn w:val="1"/>
    <w:qFormat/>
    <w:uiPriority w:val="0"/>
    <w:rPr>
      <w:rFonts w:ascii="Calibri" w:hAnsi="Calibri" w:eastAsia="宋体" w:cs="Times New Roman"/>
      <w:szCs w:val="24"/>
    </w:rPr>
  </w:style>
  <w:style w:type="character" w:customStyle="1" w:styleId="12">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3">
    <w:name w:val="页脚 Char"/>
    <w:basedOn w:val="8"/>
    <w:link w:val="4"/>
    <w:semiHidden/>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2052</Words>
  <Characters>2422</Characters>
  <Lines>17</Lines>
  <Paragraphs>4</Paragraphs>
  <TotalTime>144</TotalTime>
  <ScaleCrop>false</ScaleCrop>
  <LinksUpToDate>false</LinksUpToDate>
  <CharactersWithSpaces>2422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2022-04-18T05:09:00Z</dcterms:created>
  <dc:creator>000</dc:creator>
  <cp:lastModifiedBy>Administrator</cp:lastModifiedBy>
  <cp:lastPrinted>2022-04-21T01:25:00Z</cp:lastPrinted>
  <dcterms:modified xsi:type="dcterms:W3CDTF">2024-10-29T06:54:15Z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2659BC5B27774CFD86157D6441E6FE2A</vt:lpwstr>
  </property>
</Properties>
</file>